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0C1" w:rsidRPr="00BD3AE1" w:rsidRDefault="00A05CF0" w:rsidP="007240C1">
      <w:pPr>
        <w:contextualSpacing/>
        <w:jc w:val="center"/>
        <w:rPr>
          <w:b/>
          <w:sz w:val="28"/>
          <w:szCs w:val="28"/>
        </w:rPr>
      </w:pPr>
      <w:r w:rsidRPr="00BD3AE1">
        <w:rPr>
          <w:b/>
          <w:sz w:val="28"/>
          <w:szCs w:val="28"/>
        </w:rPr>
        <w:t>Screening for mental health in children and young pe</w:t>
      </w:r>
      <w:r w:rsidR="007240C1" w:rsidRPr="00BD3AE1">
        <w:rPr>
          <w:b/>
          <w:sz w:val="28"/>
          <w:szCs w:val="28"/>
        </w:rPr>
        <w:t>ople attending epilepsy clinics</w:t>
      </w:r>
    </w:p>
    <w:p w:rsidR="00A05CF0" w:rsidRPr="00BD3AE1" w:rsidRDefault="007240C1" w:rsidP="007240C1">
      <w:pPr>
        <w:contextualSpacing/>
        <w:jc w:val="center"/>
        <w:rPr>
          <w:b/>
          <w:sz w:val="24"/>
          <w:szCs w:val="24"/>
        </w:rPr>
      </w:pPr>
      <w:r w:rsidRPr="00BD3AE1">
        <w:rPr>
          <w:b/>
          <w:sz w:val="24"/>
          <w:szCs w:val="24"/>
        </w:rPr>
        <w:t>(</w:t>
      </w:r>
      <w:proofErr w:type="gramStart"/>
      <w:r w:rsidR="00A05CF0" w:rsidRPr="00BD3AE1">
        <w:rPr>
          <w:b/>
          <w:sz w:val="24"/>
          <w:szCs w:val="24"/>
        </w:rPr>
        <w:t>an</w:t>
      </w:r>
      <w:proofErr w:type="gramEnd"/>
      <w:r w:rsidR="00A05CF0" w:rsidRPr="00BD3AE1">
        <w:rPr>
          <w:b/>
          <w:sz w:val="24"/>
          <w:szCs w:val="24"/>
        </w:rPr>
        <w:t xml:space="preserve"> Edinburgh Children’s Hospital Charity </w:t>
      </w:r>
      <w:r w:rsidR="00A20661" w:rsidRPr="00BD3AE1">
        <w:rPr>
          <w:b/>
          <w:sz w:val="24"/>
          <w:szCs w:val="24"/>
        </w:rPr>
        <w:t>f</w:t>
      </w:r>
      <w:r w:rsidR="00A05CF0" w:rsidRPr="00BD3AE1">
        <w:rPr>
          <w:b/>
          <w:sz w:val="24"/>
          <w:szCs w:val="24"/>
        </w:rPr>
        <w:t>unded pilot project</w:t>
      </w:r>
      <w:r w:rsidRPr="00BD3AE1">
        <w:rPr>
          <w:b/>
          <w:sz w:val="24"/>
          <w:szCs w:val="24"/>
        </w:rPr>
        <w:t>)</w:t>
      </w:r>
    </w:p>
    <w:p w:rsidR="00BD3AE1" w:rsidRDefault="00BD3AE1" w:rsidP="007240C1">
      <w:pPr>
        <w:contextualSpacing/>
        <w:jc w:val="center"/>
        <w:rPr>
          <w:b/>
          <w:sz w:val="24"/>
          <w:szCs w:val="24"/>
        </w:rPr>
      </w:pPr>
      <w:r>
        <w:rPr>
          <w:b/>
          <w:sz w:val="24"/>
          <w:szCs w:val="24"/>
        </w:rPr>
        <w:t>Dr Kirsten Verity, Paediatric Neuropsychologist (RHSC, Edinburgh)</w:t>
      </w:r>
    </w:p>
    <w:p w:rsidR="00BD3AE1" w:rsidRDefault="00BD3AE1" w:rsidP="007240C1">
      <w:pPr>
        <w:contextualSpacing/>
        <w:jc w:val="center"/>
        <w:rPr>
          <w:b/>
          <w:sz w:val="24"/>
          <w:szCs w:val="24"/>
        </w:rPr>
      </w:pPr>
      <w:bookmarkStart w:id="0" w:name="_GoBack"/>
      <w:r>
        <w:rPr>
          <w:b/>
          <w:sz w:val="24"/>
          <w:szCs w:val="24"/>
        </w:rPr>
        <w:t>Dr Catriona George, Clinical Psychologist (RHSC, Edinburgh)</w:t>
      </w:r>
    </w:p>
    <w:bookmarkEnd w:id="0"/>
    <w:p w:rsidR="00EB1558" w:rsidRDefault="00BD3AE1" w:rsidP="00BD3AE1">
      <w:pPr>
        <w:contextualSpacing/>
        <w:jc w:val="center"/>
        <w:rPr>
          <w:b/>
          <w:sz w:val="24"/>
          <w:szCs w:val="24"/>
        </w:rPr>
      </w:pPr>
      <w:r>
        <w:rPr>
          <w:b/>
          <w:sz w:val="24"/>
          <w:szCs w:val="24"/>
        </w:rPr>
        <w:t>Suzanne Felix, Assistant Psychologist (RHSC, Edinburgh)</w:t>
      </w:r>
    </w:p>
    <w:p w:rsidR="00BD3AE1" w:rsidRDefault="00BD3AE1" w:rsidP="00BD3AE1">
      <w:pPr>
        <w:contextualSpacing/>
        <w:jc w:val="center"/>
        <w:rPr>
          <w:b/>
          <w:sz w:val="24"/>
          <w:szCs w:val="24"/>
        </w:rPr>
      </w:pPr>
    </w:p>
    <w:p w:rsidR="00BD3AE1" w:rsidRDefault="00BD3AE1" w:rsidP="00BD3AE1">
      <w:pPr>
        <w:contextualSpacing/>
        <w:jc w:val="center"/>
        <w:rPr>
          <w:b/>
          <w:sz w:val="24"/>
          <w:szCs w:val="24"/>
        </w:rPr>
      </w:pPr>
    </w:p>
    <w:p w:rsidR="00EB1558" w:rsidRDefault="00EB1558">
      <w:pPr>
        <w:contextualSpacing/>
        <w:rPr>
          <w:sz w:val="24"/>
          <w:szCs w:val="24"/>
        </w:rPr>
      </w:pPr>
      <w:r>
        <w:rPr>
          <w:b/>
          <w:sz w:val="24"/>
          <w:szCs w:val="24"/>
        </w:rPr>
        <w:t xml:space="preserve">Background </w:t>
      </w:r>
    </w:p>
    <w:p w:rsidR="00A51F69" w:rsidRDefault="00A51F69">
      <w:pPr>
        <w:rPr>
          <w:bCs/>
          <w:sz w:val="24"/>
          <w:szCs w:val="24"/>
        </w:rPr>
      </w:pPr>
      <w:r>
        <w:rPr>
          <w:sz w:val="24"/>
          <w:szCs w:val="24"/>
        </w:rPr>
        <w:t xml:space="preserve">This </w:t>
      </w:r>
      <w:r w:rsidRPr="00B86FC3">
        <w:rPr>
          <w:sz w:val="24"/>
          <w:szCs w:val="24"/>
        </w:rPr>
        <w:t xml:space="preserve">project was </w:t>
      </w:r>
      <w:r>
        <w:rPr>
          <w:sz w:val="24"/>
          <w:szCs w:val="24"/>
        </w:rPr>
        <w:t>s</w:t>
      </w:r>
      <w:r w:rsidRPr="00B86FC3">
        <w:rPr>
          <w:sz w:val="24"/>
          <w:szCs w:val="24"/>
        </w:rPr>
        <w:t xml:space="preserve">et up with the purpose of identifying children and young people with epilepsy </w:t>
      </w:r>
      <w:r>
        <w:rPr>
          <w:sz w:val="24"/>
          <w:szCs w:val="24"/>
        </w:rPr>
        <w:t>(</w:t>
      </w:r>
      <w:proofErr w:type="spellStart"/>
      <w:r>
        <w:rPr>
          <w:sz w:val="24"/>
          <w:szCs w:val="24"/>
        </w:rPr>
        <w:t>CYPwE</w:t>
      </w:r>
      <w:proofErr w:type="spellEnd"/>
      <w:r>
        <w:rPr>
          <w:sz w:val="24"/>
          <w:szCs w:val="24"/>
        </w:rPr>
        <w:t xml:space="preserve">) </w:t>
      </w:r>
      <w:r w:rsidRPr="00B86FC3">
        <w:rPr>
          <w:sz w:val="24"/>
          <w:szCs w:val="24"/>
        </w:rPr>
        <w:t>who are at risk of developing mental health pro</w:t>
      </w:r>
      <w:r>
        <w:rPr>
          <w:sz w:val="24"/>
          <w:szCs w:val="24"/>
        </w:rPr>
        <w:t>blems or problems with learning.</w:t>
      </w:r>
      <w:r>
        <w:rPr>
          <w:bCs/>
          <w:sz w:val="24"/>
          <w:szCs w:val="24"/>
        </w:rPr>
        <w:t xml:space="preserve"> </w:t>
      </w:r>
      <w:r w:rsidR="00B86FC3" w:rsidRPr="00B86FC3">
        <w:rPr>
          <w:sz w:val="24"/>
          <w:szCs w:val="24"/>
        </w:rPr>
        <w:t>From previous research we know that there is a significantly higher risk of social, emotional, behavioural and learning difficulties in</w:t>
      </w:r>
      <w:r>
        <w:rPr>
          <w:sz w:val="24"/>
          <w:szCs w:val="24"/>
        </w:rPr>
        <w:t xml:space="preserve"> </w:t>
      </w:r>
      <w:proofErr w:type="spellStart"/>
      <w:r>
        <w:rPr>
          <w:sz w:val="24"/>
          <w:szCs w:val="24"/>
        </w:rPr>
        <w:t>CYPwE</w:t>
      </w:r>
      <w:proofErr w:type="spellEnd"/>
      <w:r>
        <w:rPr>
          <w:sz w:val="24"/>
          <w:szCs w:val="24"/>
        </w:rPr>
        <w:t xml:space="preserve">, </w:t>
      </w:r>
      <w:r w:rsidR="00B86FC3" w:rsidRPr="00B86FC3">
        <w:rPr>
          <w:sz w:val="24"/>
          <w:szCs w:val="24"/>
        </w:rPr>
        <w:t xml:space="preserve">even when compared with other paediatric populations with chronic physical health problems. If these </w:t>
      </w:r>
      <w:r w:rsidR="00A05CF0">
        <w:rPr>
          <w:sz w:val="24"/>
          <w:szCs w:val="24"/>
        </w:rPr>
        <w:t xml:space="preserve">co-morbid </w:t>
      </w:r>
      <w:r w:rsidR="00B86FC3" w:rsidRPr="00B86FC3">
        <w:rPr>
          <w:sz w:val="24"/>
          <w:szCs w:val="24"/>
        </w:rPr>
        <w:t xml:space="preserve">problems </w:t>
      </w:r>
      <w:r w:rsidR="00A05CF0">
        <w:rPr>
          <w:sz w:val="24"/>
          <w:szCs w:val="24"/>
        </w:rPr>
        <w:t>are</w:t>
      </w:r>
      <w:r w:rsidR="00B86FC3" w:rsidRPr="00B86FC3">
        <w:rPr>
          <w:sz w:val="24"/>
          <w:szCs w:val="24"/>
        </w:rPr>
        <w:t xml:space="preserve"> identified at an earlier stage and appropriate early intervention offered</w:t>
      </w:r>
      <w:proofErr w:type="gramStart"/>
      <w:r w:rsidR="00B86FC3" w:rsidRPr="00B86FC3">
        <w:rPr>
          <w:sz w:val="24"/>
          <w:szCs w:val="24"/>
        </w:rPr>
        <w:t>,</w:t>
      </w:r>
      <w:proofErr w:type="gramEnd"/>
      <w:r w:rsidR="00B86FC3" w:rsidRPr="00B86FC3">
        <w:rPr>
          <w:sz w:val="24"/>
          <w:szCs w:val="24"/>
        </w:rPr>
        <w:t xml:space="preserve"> it may be possible to prevent more serious problems developing later on. </w:t>
      </w:r>
      <w:r w:rsidR="007240C1">
        <w:rPr>
          <w:sz w:val="24"/>
          <w:szCs w:val="24"/>
        </w:rPr>
        <w:t>This</w:t>
      </w:r>
      <w:r>
        <w:rPr>
          <w:sz w:val="24"/>
          <w:szCs w:val="24"/>
        </w:rPr>
        <w:t xml:space="preserve"> approach</w:t>
      </w:r>
      <w:r w:rsidR="00EB1558">
        <w:rPr>
          <w:sz w:val="24"/>
          <w:szCs w:val="24"/>
        </w:rPr>
        <w:t xml:space="preserve"> </w:t>
      </w:r>
      <w:r w:rsidR="007240C1">
        <w:rPr>
          <w:sz w:val="24"/>
          <w:szCs w:val="24"/>
        </w:rPr>
        <w:t xml:space="preserve">is supported by a </w:t>
      </w:r>
      <w:r w:rsidR="007240C1" w:rsidRPr="007240C1">
        <w:rPr>
          <w:sz w:val="24"/>
          <w:szCs w:val="24"/>
        </w:rPr>
        <w:t xml:space="preserve">number of </w:t>
      </w:r>
      <w:r w:rsidR="00EB1558">
        <w:rPr>
          <w:sz w:val="24"/>
          <w:szCs w:val="24"/>
        </w:rPr>
        <w:t xml:space="preserve">recent </w:t>
      </w:r>
      <w:r w:rsidR="007240C1" w:rsidRPr="007240C1">
        <w:rPr>
          <w:bCs/>
          <w:sz w:val="24"/>
          <w:szCs w:val="24"/>
        </w:rPr>
        <w:t>political drivers e.g. Mental Health Strategy</w:t>
      </w:r>
      <w:r w:rsidR="00EB1558">
        <w:rPr>
          <w:bCs/>
          <w:sz w:val="24"/>
          <w:szCs w:val="24"/>
        </w:rPr>
        <w:t xml:space="preserve"> (2017)</w:t>
      </w:r>
      <w:r>
        <w:rPr>
          <w:bCs/>
          <w:sz w:val="24"/>
          <w:szCs w:val="24"/>
        </w:rPr>
        <w:t xml:space="preserve">; </w:t>
      </w:r>
      <w:r w:rsidR="007240C1" w:rsidRPr="007240C1">
        <w:rPr>
          <w:bCs/>
          <w:sz w:val="24"/>
          <w:szCs w:val="24"/>
        </w:rPr>
        <w:t xml:space="preserve">Epilepsy 12 report (2012); RCPCH </w:t>
      </w:r>
      <w:r w:rsidR="00EB1558">
        <w:rPr>
          <w:bCs/>
          <w:sz w:val="24"/>
          <w:szCs w:val="24"/>
        </w:rPr>
        <w:t xml:space="preserve">State of Child Health report (2017). </w:t>
      </w:r>
    </w:p>
    <w:p w:rsidR="00A20661" w:rsidRPr="00A51F69" w:rsidRDefault="00A20661">
      <w:pPr>
        <w:rPr>
          <w:b/>
          <w:bCs/>
          <w:sz w:val="24"/>
          <w:szCs w:val="24"/>
        </w:rPr>
      </w:pPr>
      <w:r w:rsidRPr="00A51F69">
        <w:rPr>
          <w:b/>
          <w:sz w:val="24"/>
          <w:szCs w:val="24"/>
        </w:rPr>
        <w:t>Screening Methodology</w:t>
      </w:r>
    </w:p>
    <w:p w:rsidR="00FE02A2" w:rsidRDefault="00FE02A2">
      <w:pPr>
        <w:rPr>
          <w:sz w:val="24"/>
          <w:szCs w:val="24"/>
        </w:rPr>
      </w:pPr>
      <w:r w:rsidRPr="00FE02A2">
        <w:rPr>
          <w:sz w:val="24"/>
          <w:szCs w:val="24"/>
        </w:rPr>
        <w:t xml:space="preserve">Our aim was to focus on those </w:t>
      </w:r>
      <w:proofErr w:type="spellStart"/>
      <w:r w:rsidR="00A05CF0">
        <w:rPr>
          <w:sz w:val="24"/>
          <w:szCs w:val="24"/>
        </w:rPr>
        <w:t>CYPwE</w:t>
      </w:r>
      <w:proofErr w:type="spellEnd"/>
      <w:r w:rsidR="00A05CF0">
        <w:rPr>
          <w:sz w:val="24"/>
          <w:szCs w:val="24"/>
        </w:rPr>
        <w:t xml:space="preserve"> whose mental health is less likel</w:t>
      </w:r>
      <w:r w:rsidR="00A51F69">
        <w:rPr>
          <w:sz w:val="24"/>
          <w:szCs w:val="24"/>
        </w:rPr>
        <w:t xml:space="preserve">y to be monitored and therefore </w:t>
      </w:r>
      <w:r w:rsidR="002A58E7">
        <w:rPr>
          <w:sz w:val="24"/>
          <w:szCs w:val="24"/>
        </w:rPr>
        <w:t xml:space="preserve">where </w:t>
      </w:r>
      <w:r w:rsidR="00A05CF0">
        <w:rPr>
          <w:sz w:val="24"/>
          <w:szCs w:val="24"/>
        </w:rPr>
        <w:t>mental health</w:t>
      </w:r>
      <w:r w:rsidRPr="00FE02A2">
        <w:rPr>
          <w:sz w:val="24"/>
          <w:szCs w:val="24"/>
        </w:rPr>
        <w:t xml:space="preserve"> problems </w:t>
      </w:r>
      <w:r w:rsidR="00A51F69">
        <w:rPr>
          <w:sz w:val="24"/>
          <w:szCs w:val="24"/>
        </w:rPr>
        <w:t xml:space="preserve">more likely to </w:t>
      </w:r>
      <w:r w:rsidRPr="00FE02A2">
        <w:rPr>
          <w:sz w:val="24"/>
          <w:szCs w:val="24"/>
        </w:rPr>
        <w:t>go unidentified and untreated</w:t>
      </w:r>
      <w:r>
        <w:rPr>
          <w:sz w:val="24"/>
          <w:szCs w:val="24"/>
        </w:rPr>
        <w:t xml:space="preserve">. Therefore our inclusion criteria are </w:t>
      </w:r>
      <w:r w:rsidRPr="00FE02A2">
        <w:rPr>
          <w:sz w:val="24"/>
          <w:szCs w:val="24"/>
        </w:rPr>
        <w:t>young people</w:t>
      </w:r>
      <w:r>
        <w:rPr>
          <w:sz w:val="24"/>
          <w:szCs w:val="24"/>
        </w:rPr>
        <w:t xml:space="preserve"> between the ages of 5 – 18, </w:t>
      </w:r>
      <w:r w:rsidRPr="00FE02A2">
        <w:rPr>
          <w:sz w:val="24"/>
          <w:szCs w:val="24"/>
        </w:rPr>
        <w:t>attending mainstream school</w:t>
      </w:r>
      <w:r>
        <w:rPr>
          <w:sz w:val="24"/>
          <w:szCs w:val="24"/>
        </w:rPr>
        <w:t xml:space="preserve"> and </w:t>
      </w:r>
      <w:r w:rsidR="00A05CF0">
        <w:rPr>
          <w:sz w:val="24"/>
          <w:szCs w:val="24"/>
        </w:rPr>
        <w:t xml:space="preserve">who are </w:t>
      </w:r>
      <w:r>
        <w:rPr>
          <w:sz w:val="24"/>
          <w:szCs w:val="24"/>
        </w:rPr>
        <w:t xml:space="preserve">not already known to CAMHS. </w:t>
      </w:r>
      <w:r w:rsidR="008A3768">
        <w:rPr>
          <w:sz w:val="24"/>
          <w:szCs w:val="24"/>
        </w:rPr>
        <w:t xml:space="preserve">The project is currently being carried out within a neurology </w:t>
      </w:r>
      <w:r w:rsidR="00A05CF0">
        <w:rPr>
          <w:sz w:val="24"/>
          <w:szCs w:val="24"/>
        </w:rPr>
        <w:t>epilepsy clinic in</w:t>
      </w:r>
      <w:r w:rsidR="008A3768">
        <w:rPr>
          <w:sz w:val="24"/>
          <w:szCs w:val="24"/>
        </w:rPr>
        <w:t xml:space="preserve"> RHSC. Families complete the screening questionnaires in the waiting room before attending their routine neurology review appointment. </w:t>
      </w:r>
    </w:p>
    <w:p w:rsidR="00953A58" w:rsidRDefault="00A20661">
      <w:pPr>
        <w:rPr>
          <w:sz w:val="24"/>
          <w:szCs w:val="24"/>
        </w:rPr>
      </w:pPr>
      <w:r>
        <w:rPr>
          <w:sz w:val="24"/>
          <w:szCs w:val="24"/>
        </w:rPr>
        <w:t>Using two questionnaires, a</w:t>
      </w:r>
      <w:r w:rsidR="00953A58">
        <w:rPr>
          <w:sz w:val="24"/>
          <w:szCs w:val="24"/>
        </w:rPr>
        <w:t xml:space="preserve"> </w:t>
      </w:r>
      <w:r>
        <w:rPr>
          <w:b/>
          <w:sz w:val="24"/>
          <w:szCs w:val="24"/>
        </w:rPr>
        <w:t xml:space="preserve">Screening </w:t>
      </w:r>
      <w:r w:rsidRPr="00A20661">
        <w:rPr>
          <w:sz w:val="24"/>
          <w:szCs w:val="24"/>
        </w:rPr>
        <w:t>m</w:t>
      </w:r>
      <w:r w:rsidR="00953A58" w:rsidRPr="00A20661">
        <w:rPr>
          <w:sz w:val="24"/>
          <w:szCs w:val="24"/>
        </w:rPr>
        <w:t>ethodology</w:t>
      </w:r>
      <w:r w:rsidRPr="00A20661">
        <w:rPr>
          <w:sz w:val="24"/>
          <w:szCs w:val="24"/>
        </w:rPr>
        <w:t xml:space="preserve"> was developed</w:t>
      </w:r>
      <w:r w:rsidR="00953A58">
        <w:rPr>
          <w:sz w:val="24"/>
          <w:szCs w:val="24"/>
        </w:rPr>
        <w:t xml:space="preserve">. A traffic </w:t>
      </w:r>
      <w:r w:rsidR="008A3768">
        <w:rPr>
          <w:sz w:val="24"/>
          <w:szCs w:val="24"/>
        </w:rPr>
        <w:t xml:space="preserve">light system </w:t>
      </w:r>
      <w:r>
        <w:rPr>
          <w:sz w:val="24"/>
          <w:szCs w:val="24"/>
        </w:rPr>
        <w:t>is used</w:t>
      </w:r>
      <w:r w:rsidR="008A3768">
        <w:rPr>
          <w:sz w:val="24"/>
          <w:szCs w:val="24"/>
        </w:rPr>
        <w:t xml:space="preserve"> to indicate level of difficulty experienced by each family. </w:t>
      </w:r>
    </w:p>
    <w:p w:rsidR="00953A58" w:rsidRPr="00953A58" w:rsidRDefault="00953A58">
      <w:pPr>
        <w:rPr>
          <w:sz w:val="24"/>
          <w:szCs w:val="24"/>
        </w:rPr>
      </w:pPr>
      <w:r w:rsidRPr="00953A58">
        <w:rPr>
          <w:noProof/>
          <w:sz w:val="24"/>
          <w:szCs w:val="24"/>
          <w:lang w:eastAsia="en-GB"/>
        </w:rPr>
        <w:drawing>
          <wp:inline distT="0" distB="0" distL="0" distR="0">
            <wp:extent cx="532533" cy="1457325"/>
            <wp:effectExtent l="19050" t="0" r="867" b="0"/>
            <wp:docPr id="1" name="Picture 1" descr="C:\Users\Suzanne.Felix\AppData\Local\Microsoft\Windows\Temporary Internet Files\Content.IE5\201DCG8F\trafficlights-black1[1].png"/>
            <wp:cNvGraphicFramePr/>
            <a:graphic xmlns:a="http://schemas.openxmlformats.org/drawingml/2006/main">
              <a:graphicData uri="http://schemas.openxmlformats.org/drawingml/2006/picture">
                <pic:pic xmlns:pic="http://schemas.openxmlformats.org/drawingml/2006/picture">
                  <pic:nvPicPr>
                    <pic:cNvPr id="1029" name="Picture 5" descr="C:\Users\Suzanne.Felix\AppData\Local\Microsoft\Windows\Temporary Internet Files\Content.IE5\201DCG8F\trafficlights-black1[1].png"/>
                    <pic:cNvPicPr>
                      <a:picLocks noChangeAspect="1" noChangeArrowheads="1"/>
                    </pic:cNvPicPr>
                  </pic:nvPicPr>
                  <pic:blipFill>
                    <a:blip r:embed="rId5" cstate="print"/>
                    <a:srcRect/>
                    <a:stretch>
                      <a:fillRect/>
                    </a:stretch>
                  </pic:blipFill>
                  <pic:spPr bwMode="auto">
                    <a:xfrm>
                      <a:off x="0" y="0"/>
                      <a:ext cx="531971" cy="1455787"/>
                    </a:xfrm>
                    <a:prstGeom prst="rect">
                      <a:avLst/>
                    </a:prstGeom>
                    <a:noFill/>
                  </pic:spPr>
                </pic:pic>
              </a:graphicData>
            </a:graphic>
          </wp:inline>
        </w:drawing>
      </w:r>
      <w:r w:rsidRPr="00953A58">
        <w:rPr>
          <w:noProof/>
          <w:lang w:eastAsia="en-GB"/>
        </w:rPr>
        <w:t xml:space="preserve"> </w:t>
      </w:r>
      <w:r w:rsidRPr="00953A58">
        <w:rPr>
          <w:noProof/>
          <w:sz w:val="24"/>
          <w:szCs w:val="24"/>
          <w:lang w:eastAsia="en-GB"/>
        </w:rPr>
        <w:drawing>
          <wp:inline distT="0" distB="0" distL="0" distR="0">
            <wp:extent cx="2371725" cy="1457325"/>
            <wp:effectExtent l="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081602" cy="1938992"/>
                      <a:chOff x="8355793" y="27884981"/>
                      <a:chExt cx="6081602" cy="1938992"/>
                    </a:xfrm>
                  </a:grpSpPr>
                  <a:sp>
                    <a:nvSpPr>
                      <a:cNvPr id="43" name="TextBox 42"/>
                      <a:cNvSpPr txBox="1"/>
                    </a:nvSpPr>
                    <a:spPr>
                      <a:xfrm>
                        <a:off x="8355793" y="27884981"/>
                        <a:ext cx="6081602" cy="1938992"/>
                      </a:xfrm>
                      <a:prstGeom prst="rect">
                        <a:avLst/>
                      </a:prstGeom>
                      <a:noFill/>
                    </a:spPr>
                    <a:txSp>
                      <a:txBody>
                        <a:bodyPr wrap="square" rtlCol="0">
                          <a:spAutoFit/>
                        </a:bodyPr>
                        <a:lstStyle>
                          <a:defPPr>
                            <a:defRPr lang="en-US"/>
                          </a:defPPr>
                          <a:lvl1pPr marL="0" algn="l" defTabSz="4120835" rtl="0" eaLnBrk="1" latinLnBrk="0" hangingPunct="1">
                            <a:defRPr sz="8100" kern="1200">
                              <a:solidFill>
                                <a:schemeClr val="tx1"/>
                              </a:solidFill>
                              <a:latin typeface="+mn-lt"/>
                              <a:ea typeface="+mn-ea"/>
                              <a:cs typeface="+mn-cs"/>
                            </a:defRPr>
                          </a:lvl1pPr>
                          <a:lvl2pPr marL="2060418" algn="l" defTabSz="4120835" rtl="0" eaLnBrk="1" latinLnBrk="0" hangingPunct="1">
                            <a:defRPr sz="8100" kern="1200">
                              <a:solidFill>
                                <a:schemeClr val="tx1"/>
                              </a:solidFill>
                              <a:latin typeface="+mn-lt"/>
                              <a:ea typeface="+mn-ea"/>
                              <a:cs typeface="+mn-cs"/>
                            </a:defRPr>
                          </a:lvl2pPr>
                          <a:lvl3pPr marL="4120835" algn="l" defTabSz="4120835" rtl="0" eaLnBrk="1" latinLnBrk="0" hangingPunct="1">
                            <a:defRPr sz="8100" kern="1200">
                              <a:solidFill>
                                <a:schemeClr val="tx1"/>
                              </a:solidFill>
                              <a:latin typeface="+mn-lt"/>
                              <a:ea typeface="+mn-ea"/>
                              <a:cs typeface="+mn-cs"/>
                            </a:defRPr>
                          </a:lvl3pPr>
                          <a:lvl4pPr marL="6181253" algn="l" defTabSz="4120835" rtl="0" eaLnBrk="1" latinLnBrk="0" hangingPunct="1">
                            <a:defRPr sz="8100" kern="1200">
                              <a:solidFill>
                                <a:schemeClr val="tx1"/>
                              </a:solidFill>
                              <a:latin typeface="+mn-lt"/>
                              <a:ea typeface="+mn-ea"/>
                              <a:cs typeface="+mn-cs"/>
                            </a:defRPr>
                          </a:lvl4pPr>
                          <a:lvl5pPr marL="8241670" algn="l" defTabSz="4120835" rtl="0" eaLnBrk="1" latinLnBrk="0" hangingPunct="1">
                            <a:defRPr sz="8100" kern="1200">
                              <a:solidFill>
                                <a:schemeClr val="tx1"/>
                              </a:solidFill>
                              <a:latin typeface="+mn-lt"/>
                              <a:ea typeface="+mn-ea"/>
                              <a:cs typeface="+mn-cs"/>
                            </a:defRPr>
                          </a:lvl5pPr>
                          <a:lvl6pPr marL="10302088" algn="l" defTabSz="4120835" rtl="0" eaLnBrk="1" latinLnBrk="0" hangingPunct="1">
                            <a:defRPr sz="8100" kern="1200">
                              <a:solidFill>
                                <a:schemeClr val="tx1"/>
                              </a:solidFill>
                              <a:latin typeface="+mn-lt"/>
                              <a:ea typeface="+mn-ea"/>
                              <a:cs typeface="+mn-cs"/>
                            </a:defRPr>
                          </a:lvl6pPr>
                          <a:lvl7pPr marL="12362505" algn="l" defTabSz="4120835" rtl="0" eaLnBrk="1" latinLnBrk="0" hangingPunct="1">
                            <a:defRPr sz="8100" kern="1200">
                              <a:solidFill>
                                <a:schemeClr val="tx1"/>
                              </a:solidFill>
                              <a:latin typeface="+mn-lt"/>
                              <a:ea typeface="+mn-ea"/>
                              <a:cs typeface="+mn-cs"/>
                            </a:defRPr>
                          </a:lvl7pPr>
                          <a:lvl8pPr marL="14422923" algn="l" defTabSz="4120835" rtl="0" eaLnBrk="1" latinLnBrk="0" hangingPunct="1">
                            <a:defRPr sz="8100" kern="1200">
                              <a:solidFill>
                                <a:schemeClr val="tx1"/>
                              </a:solidFill>
                              <a:latin typeface="+mn-lt"/>
                              <a:ea typeface="+mn-ea"/>
                              <a:cs typeface="+mn-cs"/>
                            </a:defRPr>
                          </a:lvl8pPr>
                          <a:lvl9pPr marL="16483340" algn="l" defTabSz="4120835" rtl="0" eaLnBrk="1" latinLnBrk="0" hangingPunct="1">
                            <a:defRPr sz="8100" kern="1200">
                              <a:solidFill>
                                <a:schemeClr val="tx1"/>
                              </a:solidFill>
                              <a:latin typeface="+mn-lt"/>
                              <a:ea typeface="+mn-ea"/>
                              <a:cs typeface="+mn-cs"/>
                            </a:defRPr>
                          </a:lvl9pPr>
                        </a:lstStyle>
                        <a:p>
                          <a:r>
                            <a:rPr lang="en-GB" sz="2500" dirty="0" smtClean="0">
                              <a:solidFill>
                                <a:srgbClr val="FF0000"/>
                              </a:solidFill>
                              <a:latin typeface="+mj-lt"/>
                            </a:rPr>
                            <a:t>RED: Global significant concerns</a:t>
                          </a:r>
                        </a:p>
                        <a:p>
                          <a:endParaRPr lang="en-GB" sz="1000" dirty="0">
                            <a:solidFill>
                              <a:srgbClr val="FF0000"/>
                            </a:solidFill>
                            <a:latin typeface="+mj-lt"/>
                          </a:endParaRPr>
                        </a:p>
                        <a:p>
                          <a:r>
                            <a:rPr lang="en-GB" sz="2500" dirty="0" smtClean="0">
                              <a:solidFill>
                                <a:srgbClr val="F77509"/>
                              </a:solidFill>
                              <a:latin typeface="+mj-lt"/>
                            </a:rPr>
                            <a:t>AMBER3: Specific significant concerns</a:t>
                          </a:r>
                        </a:p>
                        <a:p>
                          <a:r>
                            <a:rPr lang="en-GB" sz="2500" dirty="0" smtClean="0">
                              <a:solidFill>
                                <a:srgbClr val="F77509"/>
                              </a:solidFill>
                              <a:latin typeface="+mj-lt"/>
                            </a:rPr>
                            <a:t>AMBER1,2: Developing difficulties</a:t>
                          </a:r>
                        </a:p>
                        <a:p>
                          <a:endParaRPr lang="en-GB" sz="1000" dirty="0">
                            <a:solidFill>
                              <a:srgbClr val="FFC000"/>
                            </a:solidFill>
                            <a:latin typeface="+mj-lt"/>
                          </a:endParaRPr>
                        </a:p>
                        <a:p>
                          <a:r>
                            <a:rPr lang="en-GB" sz="2500" dirty="0" smtClean="0">
                              <a:solidFill>
                                <a:srgbClr val="04920B"/>
                              </a:solidFill>
                              <a:latin typeface="+mj-lt"/>
                            </a:rPr>
                            <a:t>GREEN: No concerns</a:t>
                          </a:r>
                        </a:p>
                      </a:txBody>
                      <a:useSpRect/>
                    </a:txSp>
                  </a:sp>
                </lc:lockedCanvas>
              </a:graphicData>
            </a:graphic>
          </wp:inline>
        </w:drawing>
      </w:r>
    </w:p>
    <w:p w:rsidR="00A51F69" w:rsidRDefault="00F94AEC" w:rsidP="00F94AEC">
      <w:pPr>
        <w:rPr>
          <w:sz w:val="24"/>
          <w:szCs w:val="24"/>
        </w:rPr>
      </w:pPr>
      <w:r>
        <w:rPr>
          <w:noProof/>
          <w:sz w:val="24"/>
          <w:szCs w:val="24"/>
          <w:lang w:eastAsia="en-GB"/>
        </w:rPr>
        <w:lastRenderedPageBreak/>
        <w:drawing>
          <wp:anchor distT="0" distB="0" distL="114300" distR="114300" simplePos="0" relativeHeight="251660288" behindDoc="0" locked="0" layoutInCell="1" allowOverlap="1">
            <wp:simplePos x="0" y="0"/>
            <wp:positionH relativeFrom="column">
              <wp:posOffset>-180975</wp:posOffset>
            </wp:positionH>
            <wp:positionV relativeFrom="paragraph">
              <wp:posOffset>453390</wp:posOffset>
            </wp:positionV>
            <wp:extent cx="3914775" cy="3419475"/>
            <wp:effectExtent l="0" t="0" r="9525" b="0"/>
            <wp:wrapSquare wrapText="bothSides"/>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r="2005" b="19706"/>
                    <a:stretch>
                      <a:fillRect/>
                    </a:stretch>
                  </pic:blipFill>
                  <pic:spPr bwMode="auto">
                    <a:xfrm>
                      <a:off x="0" y="0"/>
                      <a:ext cx="3914775" cy="3419475"/>
                    </a:xfrm>
                    <a:prstGeom prst="rect">
                      <a:avLst/>
                    </a:prstGeom>
                    <a:noFill/>
                  </pic:spPr>
                </pic:pic>
              </a:graphicData>
            </a:graphic>
          </wp:anchor>
        </w:drawing>
      </w:r>
      <w:r w:rsidR="008A3768">
        <w:rPr>
          <w:noProof/>
          <w:sz w:val="24"/>
          <w:szCs w:val="24"/>
          <w:lang w:eastAsia="en-GB"/>
        </w:rPr>
        <w:drawing>
          <wp:anchor distT="0" distB="0" distL="114300" distR="114300" simplePos="0" relativeHeight="251659264" behindDoc="0" locked="0" layoutInCell="1" allowOverlap="1">
            <wp:simplePos x="0" y="0"/>
            <wp:positionH relativeFrom="column">
              <wp:posOffset>3571875</wp:posOffset>
            </wp:positionH>
            <wp:positionV relativeFrom="paragraph">
              <wp:posOffset>1160780</wp:posOffset>
            </wp:positionV>
            <wp:extent cx="2381250" cy="1952625"/>
            <wp:effectExtent l="0" t="0" r="0" b="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381250" cy="1952625"/>
                    </a:xfrm>
                    <a:prstGeom prst="rect">
                      <a:avLst/>
                    </a:prstGeom>
                    <a:noFill/>
                  </pic:spPr>
                </pic:pic>
              </a:graphicData>
            </a:graphic>
          </wp:anchor>
        </w:drawing>
      </w:r>
      <w:r w:rsidR="008A3768">
        <w:rPr>
          <w:sz w:val="24"/>
          <w:szCs w:val="24"/>
        </w:rPr>
        <w:t xml:space="preserve">Our findings to date indicate a high level of need in comparison to the general population. </w:t>
      </w:r>
    </w:p>
    <w:p w:rsidR="00A51F69" w:rsidRDefault="00A51F69" w:rsidP="00F94AEC">
      <w:pPr>
        <w:rPr>
          <w:sz w:val="24"/>
          <w:szCs w:val="24"/>
        </w:rPr>
      </w:pPr>
    </w:p>
    <w:p w:rsidR="00A51F69" w:rsidRDefault="00A51F69" w:rsidP="00F94AEC">
      <w:pPr>
        <w:rPr>
          <w:sz w:val="24"/>
          <w:szCs w:val="24"/>
        </w:rPr>
      </w:pPr>
    </w:p>
    <w:p w:rsidR="00A51F69" w:rsidRDefault="00A51F69" w:rsidP="00F94AEC">
      <w:pPr>
        <w:rPr>
          <w:sz w:val="24"/>
          <w:szCs w:val="24"/>
        </w:rPr>
      </w:pPr>
    </w:p>
    <w:p w:rsidR="00A51F69" w:rsidRDefault="00A51F69" w:rsidP="00F94AEC">
      <w:pPr>
        <w:rPr>
          <w:sz w:val="24"/>
          <w:szCs w:val="24"/>
        </w:rPr>
      </w:pPr>
    </w:p>
    <w:p w:rsidR="00A51F69" w:rsidRDefault="00A51F69" w:rsidP="00F94AEC">
      <w:pPr>
        <w:rPr>
          <w:sz w:val="24"/>
          <w:szCs w:val="24"/>
        </w:rPr>
      </w:pPr>
    </w:p>
    <w:p w:rsidR="00A20661" w:rsidRPr="0017165B" w:rsidRDefault="00A20661" w:rsidP="00F94AEC">
      <w:pPr>
        <w:rPr>
          <w:b/>
          <w:sz w:val="24"/>
          <w:szCs w:val="24"/>
        </w:rPr>
      </w:pPr>
      <w:r w:rsidRPr="0017165B">
        <w:rPr>
          <w:b/>
          <w:sz w:val="24"/>
          <w:szCs w:val="24"/>
        </w:rPr>
        <w:t>Intervention Pathway</w:t>
      </w:r>
    </w:p>
    <w:p w:rsidR="00F94AEC" w:rsidRPr="00F94AEC" w:rsidRDefault="00BD2C59" w:rsidP="00F94AEC">
      <w:pPr>
        <w:rPr>
          <w:sz w:val="24"/>
          <w:szCs w:val="24"/>
        </w:rPr>
      </w:pPr>
      <w:r>
        <w:rPr>
          <w:sz w:val="24"/>
          <w:szCs w:val="24"/>
        </w:rPr>
        <w:t xml:space="preserve">We are currently 5 months into year two of the project and our focus is now on development of an </w:t>
      </w:r>
      <w:r w:rsidR="00A05CF0">
        <w:rPr>
          <w:b/>
          <w:sz w:val="24"/>
          <w:szCs w:val="24"/>
        </w:rPr>
        <w:t>Intervention P</w:t>
      </w:r>
      <w:r w:rsidRPr="00A05CF0">
        <w:rPr>
          <w:b/>
          <w:sz w:val="24"/>
          <w:szCs w:val="24"/>
        </w:rPr>
        <w:t>athway</w:t>
      </w:r>
      <w:r>
        <w:rPr>
          <w:sz w:val="24"/>
          <w:szCs w:val="24"/>
        </w:rPr>
        <w:t xml:space="preserve"> for those</w:t>
      </w:r>
      <w:r w:rsidR="00A05CF0">
        <w:rPr>
          <w:sz w:val="24"/>
          <w:szCs w:val="24"/>
        </w:rPr>
        <w:t xml:space="preserve"> </w:t>
      </w:r>
      <w:proofErr w:type="spellStart"/>
      <w:r w:rsidR="00A05CF0">
        <w:rPr>
          <w:sz w:val="24"/>
          <w:szCs w:val="24"/>
        </w:rPr>
        <w:t>CYPwE</w:t>
      </w:r>
      <w:proofErr w:type="spellEnd"/>
      <w:r w:rsidR="00A05CF0">
        <w:rPr>
          <w:sz w:val="24"/>
          <w:szCs w:val="24"/>
        </w:rPr>
        <w:t xml:space="preserve"> are you </w:t>
      </w:r>
      <w:proofErr w:type="gramStart"/>
      <w:r w:rsidR="00A05CF0">
        <w:rPr>
          <w:sz w:val="24"/>
          <w:szCs w:val="24"/>
        </w:rPr>
        <w:t>a</w:t>
      </w:r>
      <w:proofErr w:type="gramEnd"/>
      <w:r>
        <w:rPr>
          <w:sz w:val="24"/>
          <w:szCs w:val="24"/>
        </w:rPr>
        <w:t xml:space="preserve"> identified as being at risk</w:t>
      </w:r>
      <w:r w:rsidRPr="00F94AEC">
        <w:rPr>
          <w:sz w:val="24"/>
          <w:szCs w:val="24"/>
        </w:rPr>
        <w:t xml:space="preserve">. </w:t>
      </w:r>
      <w:r w:rsidR="00F94AEC" w:rsidRPr="00F94AEC">
        <w:rPr>
          <w:sz w:val="24"/>
          <w:szCs w:val="24"/>
        </w:rPr>
        <w:t xml:space="preserve">The development of this pathway has involved making links with third sector colleagues working in the community to </w:t>
      </w:r>
      <w:r w:rsidR="00A20661">
        <w:rPr>
          <w:sz w:val="24"/>
          <w:szCs w:val="24"/>
        </w:rPr>
        <w:t xml:space="preserve">ensure quality and </w:t>
      </w:r>
      <w:r w:rsidR="00F94AEC" w:rsidRPr="00F94AEC">
        <w:rPr>
          <w:sz w:val="24"/>
          <w:szCs w:val="24"/>
        </w:rPr>
        <w:t>maximise the use of already existing resources, such as Epilepsy Scotland Youth Group and Children’s Health Scotland Self Management Groups. These services can also provide individualised intervention, when young people do not meet the threshold for CAMHS input.</w:t>
      </w:r>
    </w:p>
    <w:p w:rsidR="00F94AEC" w:rsidRDefault="00F94AEC" w:rsidP="00F94AEC">
      <w:pPr>
        <w:rPr>
          <w:sz w:val="24"/>
          <w:szCs w:val="24"/>
        </w:rPr>
      </w:pPr>
      <w:r w:rsidRPr="00F94AEC">
        <w:rPr>
          <w:sz w:val="24"/>
          <w:szCs w:val="24"/>
        </w:rPr>
        <w:t xml:space="preserve"> In addition, we </w:t>
      </w:r>
      <w:r>
        <w:rPr>
          <w:sz w:val="24"/>
          <w:szCs w:val="24"/>
        </w:rPr>
        <w:t xml:space="preserve">have developed </w:t>
      </w:r>
      <w:r w:rsidRPr="00F94AEC">
        <w:rPr>
          <w:sz w:val="24"/>
          <w:szCs w:val="24"/>
        </w:rPr>
        <w:t xml:space="preserve">two </w:t>
      </w:r>
      <w:r w:rsidR="00A20661">
        <w:rPr>
          <w:b/>
          <w:sz w:val="24"/>
          <w:szCs w:val="24"/>
        </w:rPr>
        <w:t>Parent W</w:t>
      </w:r>
      <w:r w:rsidRPr="00A20661">
        <w:rPr>
          <w:b/>
          <w:sz w:val="24"/>
          <w:szCs w:val="24"/>
        </w:rPr>
        <w:t>orkshops</w:t>
      </w:r>
      <w:r w:rsidRPr="00F94AEC">
        <w:rPr>
          <w:sz w:val="24"/>
          <w:szCs w:val="24"/>
        </w:rPr>
        <w:t xml:space="preserve"> for parents of primary and secondary aged children, jointly with Epilepsy Scotland, and </w:t>
      </w:r>
      <w:r>
        <w:rPr>
          <w:sz w:val="24"/>
          <w:szCs w:val="24"/>
        </w:rPr>
        <w:t xml:space="preserve">are currently piloting </w:t>
      </w:r>
      <w:r w:rsidRPr="00F94AEC">
        <w:rPr>
          <w:sz w:val="24"/>
          <w:szCs w:val="24"/>
        </w:rPr>
        <w:t xml:space="preserve">the six week </w:t>
      </w:r>
      <w:r w:rsidRPr="00A20661">
        <w:rPr>
          <w:b/>
          <w:sz w:val="24"/>
          <w:szCs w:val="24"/>
        </w:rPr>
        <w:t>Psychosocial Intervention in Epilepsy</w:t>
      </w:r>
      <w:r w:rsidRPr="00F94AEC">
        <w:rPr>
          <w:sz w:val="24"/>
          <w:szCs w:val="24"/>
        </w:rPr>
        <w:t xml:space="preserve"> (PIE</w:t>
      </w:r>
      <w:r>
        <w:rPr>
          <w:sz w:val="24"/>
          <w:szCs w:val="24"/>
        </w:rPr>
        <w:t>; Dorris et al., 2017</w:t>
      </w:r>
      <w:r w:rsidRPr="00F94AEC">
        <w:rPr>
          <w:sz w:val="24"/>
          <w:szCs w:val="24"/>
        </w:rPr>
        <w:t>) group for 12 – 17 year olds</w:t>
      </w:r>
      <w:r>
        <w:rPr>
          <w:sz w:val="24"/>
          <w:szCs w:val="24"/>
        </w:rPr>
        <w:t xml:space="preserve">. The PIE group is run </w:t>
      </w:r>
      <w:r w:rsidR="00A20661">
        <w:rPr>
          <w:sz w:val="24"/>
          <w:szCs w:val="24"/>
        </w:rPr>
        <w:t>jointly between psychology and epilepsy nursing.</w:t>
      </w:r>
      <w:r>
        <w:rPr>
          <w:sz w:val="24"/>
          <w:szCs w:val="24"/>
        </w:rPr>
        <w:t xml:space="preserve"> P</w:t>
      </w:r>
      <w:r w:rsidRPr="00F94AEC">
        <w:rPr>
          <w:sz w:val="24"/>
          <w:szCs w:val="24"/>
        </w:rPr>
        <w:t xml:space="preserve">roblem specific, individualised </w:t>
      </w:r>
      <w:r w:rsidR="00A20661">
        <w:rPr>
          <w:b/>
          <w:sz w:val="24"/>
          <w:szCs w:val="24"/>
        </w:rPr>
        <w:t>Self H</w:t>
      </w:r>
      <w:r w:rsidRPr="00A20661">
        <w:rPr>
          <w:b/>
          <w:sz w:val="24"/>
          <w:szCs w:val="24"/>
        </w:rPr>
        <w:t>elp materials</w:t>
      </w:r>
      <w:r>
        <w:rPr>
          <w:sz w:val="24"/>
          <w:szCs w:val="24"/>
        </w:rPr>
        <w:t xml:space="preserve"> are provided</w:t>
      </w:r>
      <w:r w:rsidRPr="00F94AEC">
        <w:rPr>
          <w:sz w:val="24"/>
          <w:szCs w:val="24"/>
        </w:rPr>
        <w:t xml:space="preserve"> for those with milder levels of difficulty (i.e. Amber 1 &amp; 2 range) or who are currently unable to access the interventions available</w:t>
      </w:r>
      <w:r>
        <w:rPr>
          <w:sz w:val="24"/>
          <w:szCs w:val="24"/>
        </w:rPr>
        <w:t xml:space="preserve"> (see pathway below). </w:t>
      </w:r>
    </w:p>
    <w:p w:rsidR="0017165B" w:rsidRDefault="0017165B" w:rsidP="00F94AEC">
      <w:pPr>
        <w:rPr>
          <w:sz w:val="24"/>
          <w:szCs w:val="24"/>
        </w:rPr>
      </w:pPr>
    </w:p>
    <w:p w:rsidR="0017165B" w:rsidRDefault="0017165B" w:rsidP="00F94AEC">
      <w:pPr>
        <w:rPr>
          <w:sz w:val="24"/>
          <w:szCs w:val="24"/>
        </w:rPr>
      </w:pPr>
    </w:p>
    <w:p w:rsidR="00F94AEC" w:rsidRPr="00F94AEC" w:rsidRDefault="00F94AEC" w:rsidP="00F94AEC">
      <w:pPr>
        <w:rPr>
          <w:sz w:val="24"/>
          <w:szCs w:val="24"/>
        </w:rPr>
      </w:pPr>
      <w:r w:rsidRPr="00F94AEC">
        <w:rPr>
          <w:noProof/>
          <w:sz w:val="24"/>
          <w:szCs w:val="24"/>
          <w:lang w:eastAsia="en-GB"/>
        </w:rPr>
        <w:lastRenderedPageBreak/>
        <w:drawing>
          <wp:anchor distT="0" distB="0" distL="114300" distR="114300" simplePos="0" relativeHeight="251662336" behindDoc="0" locked="0" layoutInCell="1" allowOverlap="1">
            <wp:simplePos x="0" y="0"/>
            <wp:positionH relativeFrom="column">
              <wp:posOffset>-523240</wp:posOffset>
            </wp:positionH>
            <wp:positionV relativeFrom="paragraph">
              <wp:posOffset>151130</wp:posOffset>
            </wp:positionV>
            <wp:extent cx="6724650" cy="2333625"/>
            <wp:effectExtent l="19050" t="0" r="0" b="0"/>
            <wp:wrapSquare wrapText="bothSides"/>
            <wp:docPr id="16" name="Picture 3"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8" cstate="print"/>
                    <a:stretch>
                      <a:fillRect/>
                    </a:stretch>
                  </pic:blipFill>
                  <pic:spPr>
                    <a:xfrm>
                      <a:off x="0" y="0"/>
                      <a:ext cx="6724650" cy="2333625"/>
                    </a:xfrm>
                    <a:prstGeom prst="rect">
                      <a:avLst/>
                    </a:prstGeom>
                  </pic:spPr>
                </pic:pic>
              </a:graphicData>
            </a:graphic>
          </wp:anchor>
        </w:drawing>
      </w:r>
    </w:p>
    <w:p w:rsidR="0017165B" w:rsidRPr="0017165B" w:rsidRDefault="0017165B">
      <w:pPr>
        <w:rPr>
          <w:b/>
          <w:sz w:val="24"/>
          <w:szCs w:val="24"/>
        </w:rPr>
      </w:pPr>
      <w:r>
        <w:rPr>
          <w:b/>
          <w:sz w:val="24"/>
          <w:szCs w:val="24"/>
        </w:rPr>
        <w:t>Next Steps</w:t>
      </w:r>
    </w:p>
    <w:p w:rsidR="00FE02A2" w:rsidRDefault="00F3705F">
      <w:pPr>
        <w:rPr>
          <w:sz w:val="24"/>
          <w:szCs w:val="24"/>
        </w:rPr>
      </w:pPr>
      <w:r>
        <w:rPr>
          <w:sz w:val="24"/>
          <w:szCs w:val="24"/>
        </w:rPr>
        <w:t xml:space="preserve">Next steps for the project will be to publish evaluation data on the effectiveness of both the screening and pilot interventions and to develop a computerised version of the screening protocol in order for the pathway to be sustainable. </w:t>
      </w:r>
    </w:p>
    <w:p w:rsidR="00A20661" w:rsidRDefault="00A20661">
      <w:pPr>
        <w:rPr>
          <w:sz w:val="24"/>
          <w:szCs w:val="24"/>
        </w:rPr>
      </w:pPr>
      <w:r>
        <w:rPr>
          <w:sz w:val="24"/>
          <w:szCs w:val="24"/>
        </w:rPr>
        <w:t>The Scottish Paediatric Epilepsy Network (SPEN), a national Managed Clinical Network, has expressed an interest in using the sc</w:t>
      </w:r>
      <w:r w:rsidR="00A51F69">
        <w:rPr>
          <w:sz w:val="24"/>
          <w:szCs w:val="24"/>
        </w:rPr>
        <w:t>r</w:t>
      </w:r>
      <w:r>
        <w:rPr>
          <w:sz w:val="24"/>
          <w:szCs w:val="24"/>
        </w:rPr>
        <w:t xml:space="preserve">eening methodology to scope the needs of </w:t>
      </w:r>
      <w:proofErr w:type="spellStart"/>
      <w:r>
        <w:rPr>
          <w:sz w:val="24"/>
          <w:szCs w:val="24"/>
        </w:rPr>
        <w:t>CYPwE</w:t>
      </w:r>
      <w:proofErr w:type="spellEnd"/>
      <w:r>
        <w:rPr>
          <w:sz w:val="24"/>
          <w:szCs w:val="24"/>
        </w:rPr>
        <w:t xml:space="preserve"> nationally.</w:t>
      </w:r>
    </w:p>
    <w:p w:rsidR="00F94AEC" w:rsidRDefault="00BD3AE1">
      <w:pPr>
        <w:rPr>
          <w:b/>
          <w:sz w:val="24"/>
          <w:szCs w:val="24"/>
        </w:rPr>
      </w:pPr>
      <w:r w:rsidRPr="00BD3AE1">
        <w:rPr>
          <w:b/>
          <w:sz w:val="24"/>
          <w:szCs w:val="24"/>
        </w:rPr>
        <w:t>Acknowledgements</w:t>
      </w:r>
    </w:p>
    <w:p w:rsidR="00BD3AE1" w:rsidRPr="00BD3AE1" w:rsidRDefault="00BD3AE1" w:rsidP="00BD3AE1">
      <w:pPr>
        <w:contextualSpacing/>
        <w:rPr>
          <w:sz w:val="24"/>
          <w:szCs w:val="24"/>
        </w:rPr>
      </w:pPr>
      <w:r w:rsidRPr="00BD3AE1">
        <w:rPr>
          <w:sz w:val="24"/>
          <w:szCs w:val="24"/>
        </w:rPr>
        <w:t>Dr Ailsa McLellan, Consultant Paediatric Neurologist (RHSC, Edinburgh)</w:t>
      </w:r>
    </w:p>
    <w:p w:rsidR="00BD3AE1" w:rsidRPr="00BD3AE1" w:rsidRDefault="00BD3AE1" w:rsidP="00BD3AE1">
      <w:pPr>
        <w:contextualSpacing/>
        <w:rPr>
          <w:sz w:val="24"/>
          <w:szCs w:val="24"/>
        </w:rPr>
      </w:pPr>
      <w:r w:rsidRPr="00BD3AE1">
        <w:rPr>
          <w:sz w:val="24"/>
          <w:szCs w:val="24"/>
        </w:rPr>
        <w:t>Dr Jay Shetty, Consultant Paediatric Neurologist (RHSC, Edinburgh)</w:t>
      </w:r>
    </w:p>
    <w:p w:rsidR="00BD3AE1" w:rsidRPr="00BD3AE1" w:rsidRDefault="00BD3AE1">
      <w:pPr>
        <w:rPr>
          <w:b/>
          <w:sz w:val="24"/>
          <w:szCs w:val="24"/>
        </w:rPr>
      </w:pPr>
    </w:p>
    <w:sectPr w:rsidR="00BD3AE1" w:rsidRPr="00BD3AE1" w:rsidSect="001604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docVars>
    <w:docVar w:name="dgnword-docGUID" w:val="{C72B2EB1-89FC-44AF-92BD-9E126655323C}"/>
    <w:docVar w:name="dgnword-eventsink" w:val="43715120"/>
  </w:docVars>
  <w:rsids>
    <w:rsidRoot w:val="00B86FC3"/>
    <w:rsid w:val="0016046E"/>
    <w:rsid w:val="0017165B"/>
    <w:rsid w:val="001F2E33"/>
    <w:rsid w:val="002A58E7"/>
    <w:rsid w:val="00450E85"/>
    <w:rsid w:val="004929A7"/>
    <w:rsid w:val="007240C1"/>
    <w:rsid w:val="007B2E51"/>
    <w:rsid w:val="008A3768"/>
    <w:rsid w:val="008B5F46"/>
    <w:rsid w:val="00953A58"/>
    <w:rsid w:val="00A05CF0"/>
    <w:rsid w:val="00A20661"/>
    <w:rsid w:val="00A51F69"/>
    <w:rsid w:val="00B86FC3"/>
    <w:rsid w:val="00BD2C59"/>
    <w:rsid w:val="00BD3AE1"/>
    <w:rsid w:val="00EB1558"/>
    <w:rsid w:val="00F3705F"/>
    <w:rsid w:val="00F94AEC"/>
    <w:rsid w:val="00FE0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F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George</dc:creator>
  <cp:lastModifiedBy>John-Study</cp:lastModifiedBy>
  <cp:revision>2</cp:revision>
  <dcterms:created xsi:type="dcterms:W3CDTF">2018-09-09T12:42:00Z</dcterms:created>
  <dcterms:modified xsi:type="dcterms:W3CDTF">2018-09-09T12:42:00Z</dcterms:modified>
</cp:coreProperties>
</file>